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20" w:before="0" w:line="276"/>
        <w:jc w:val="center"/>
      </w:pPr>
      <w:r>
        <w:rPr>
          <w:rFonts w:ascii="Times New Roman" w:cs="Times New Roman" w:eastAsia="Times New Roman" w:hAnsi="Times New Roman"/>
          <w:b w:val="false"/>
          <w:bCs w:val="false"/>
          <w:i w:val="false"/>
          <w:iCs w:val="false"/>
          <w:sz w:val="24"/>
          <w:szCs w:val="24"/>
        </w:rPr>
        <w:t xml:space="preserve">Model s fiktivními údaji. Podpisová místa nejsou podepsána.</w:t>
      </w:r>
    </w:p>
    <w:p>
      <w:pPr>
        <w:keepNext/>
        <w:spacing w:after="120" w:before="240" w:line="276"/>
        <w:jc w:val="center"/>
      </w:pPr>
      <w:r>
        <w:rPr>
          <w:rFonts w:ascii="Times New Roman" w:cs="Times New Roman" w:eastAsia="Times New Roman" w:hAnsi="Times New Roman"/>
          <w:b/>
          <w:bCs/>
          <w:i w:val="false"/>
          <w:iCs w:val="false"/>
          <w:sz w:val="32"/>
          <w:szCs w:val="32"/>
        </w:rPr>
        <w:t xml:space="preserve">UZNÁNÍ DLUHU</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učiněné podle § 2053 a násl. zákona č. 89/2012 Sb., občanský zákoník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Věřitel:</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Peter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14. 3. 1981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Botanická 14,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Číslo účtu:</w:t>
      </w:r>
      <w:r>
        <w:rPr>
          <w:rFonts w:ascii="Times New Roman" w:cs="Times New Roman" w:eastAsia="Times New Roman" w:hAnsi="Times New Roman"/>
          <w:b w:val="false"/>
          <w:bCs w:val="false"/>
          <w:i w:val="false"/>
          <w:iCs w:val="false"/>
          <w:sz w:val="24"/>
          <w:szCs w:val="24"/>
        </w:rPr>
        <w:t xml:space="preserve">00000001/0000</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peter@example.invalid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věřitel</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Dlužník:</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Jméno a příjmení:</w:t>
      </w:r>
      <w:r>
        <w:rPr>
          <w:rFonts w:ascii="Times New Roman" w:cs="Times New Roman" w:eastAsia="Times New Roman" w:hAnsi="Times New Roman"/>
          <w:b w:val="false"/>
          <w:bCs w:val="false"/>
          <w:i w:val="false"/>
          <w:iCs w:val="false"/>
          <w:sz w:val="24"/>
          <w:szCs w:val="24"/>
        </w:rPr>
        <w:t xml:space="preserve">Jana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Datum narození:</w:t>
      </w:r>
      <w:r>
        <w:rPr>
          <w:rFonts w:ascii="Times New Roman" w:cs="Times New Roman" w:eastAsia="Times New Roman" w:hAnsi="Times New Roman"/>
          <w:b w:val="false"/>
          <w:bCs w:val="false"/>
          <w:i w:val="false"/>
          <w:iCs w:val="false"/>
          <w:sz w:val="24"/>
          <w:szCs w:val="24"/>
        </w:rPr>
        <w:t xml:space="preserve">4. 8. 1991</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Bydliště:</w:t>
      </w:r>
      <w:r>
        <w:rPr>
          <w:rFonts w:ascii="Times New Roman" w:cs="Times New Roman" w:eastAsia="Times New Roman" w:hAnsi="Times New Roman"/>
          <w:b w:val="false"/>
          <w:bCs w:val="false"/>
          <w:i w:val="false"/>
          <w:iCs w:val="false"/>
          <w:sz w:val="24"/>
          <w:szCs w:val="24"/>
        </w:rPr>
        <w:t xml:space="preserve">Údolní 8, 602 00 Brno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Jiné údaje:</w:t>
      </w:r>
      <w:r>
        <w:rPr>
          <w:rFonts w:ascii="Times New Roman" w:cs="Times New Roman" w:eastAsia="Times New Roman" w:hAnsi="Times New Roman"/>
          <w:b w:val="false"/>
          <w:bCs w:val="false"/>
          <w:i w:val="false"/>
          <w:iCs w:val="false"/>
          <w:sz w:val="24"/>
          <w:szCs w:val="24"/>
        </w:rPr>
        <w:t xml:space="preserve">modelový e-mail: jana@example.invalid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(dále jen jako „</w:t>
      </w:r>
      <w:r>
        <w:rPr>
          <w:rFonts w:ascii="Times New Roman" w:cs="Times New Roman" w:eastAsia="Times New Roman" w:hAnsi="Times New Roman"/>
          <w:b w:val="false"/>
          <w:bCs w:val="false"/>
          <w:i w:val="false"/>
          <w:iCs w:val="false"/>
          <w:sz w:val="24"/>
          <w:szCs w:val="24"/>
        </w:rPr>
        <w:t xml:space="preserve">dlužník</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(dále spolu jen jako „</w:t>
      </w:r>
      <w:r>
        <w:rPr>
          <w:rFonts w:ascii="Times New Roman" w:cs="Times New Roman" w:eastAsia="Times New Roman" w:hAnsi="Times New Roman"/>
          <w:b w:val="false"/>
          <w:bCs w:val="false"/>
          <w:i/>
          <w:iCs/>
          <w:sz w:val="24"/>
          <w:szCs w:val="24"/>
        </w:rPr>
        <w:t xml:space="preserve">smluvní strany</w:t>
      </w:r>
      <w:r>
        <w:rPr>
          <w:rFonts w:ascii="Times New Roman" w:cs="Times New Roman" w:eastAsia="Times New Roman" w:hAnsi="Times New Roman"/>
          <w:b w:val="false"/>
          <w:bCs w:val="false"/>
          <w:i/>
          <w:iCs/>
          <w:sz w:val="24"/>
          <w:szCs w:val="24"/>
        </w:rPr>
        <w:t xml:space="preserv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w:t>
      </w:r>
    </w:p>
    <w:p>
      <w:pPr>
        <w:keepNext/>
        <w:spacing w:after="120" w:before="0" w:line="276"/>
        <w:jc w:val="center"/>
      </w:pPr>
      <w:r>
        <w:rPr>
          <w:rFonts w:ascii="Times New Roman" w:cs="Times New Roman" w:eastAsia="Times New Roman" w:hAnsi="Times New Roman"/>
          <w:b w:val="false"/>
          <w:bCs w:val="false"/>
          <w:i/>
          <w:iCs/>
          <w:sz w:val="22"/>
          <w:szCs w:val="22"/>
        </w:rPr>
        <w:t xml:space="preserve">Uznání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Dlužník tímto uznává svůj dluh vůči věřiteli ve výši </w:t>
      </w:r>
      <w:r>
        <w:rPr>
          <w:rFonts w:ascii="Times New Roman" w:cs="Times New Roman" w:eastAsia="Times New Roman" w:hAnsi="Times New Roman"/>
          <w:b w:val="false"/>
          <w:bCs w:val="false"/>
          <w:i w:val="false"/>
          <w:iCs w:val="false"/>
          <w:sz w:val="24"/>
          <w:szCs w:val="24"/>
        </w:rPr>
        <w:t xml:space="preserve">2000</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EUR</w:t>
      </w:r>
      <w:r>
        <w:rPr>
          <w:rFonts w:ascii="Times New Roman" w:cs="Times New Roman" w:eastAsia="Times New Roman" w:hAnsi="Times New Roman"/>
          <w:b w:val="false"/>
          <w:bCs w:val="false"/>
          <w:i w:val="false"/>
          <w:iCs w:val="false"/>
          <w:sz w:val="24"/>
          <w:szCs w:val="24"/>
        </w:rPr>
        <w:t xml:space="preserve"> (slovy: </w:t>
      </w:r>
      <w:r>
        <w:rPr>
          <w:rFonts w:ascii="Times New Roman" w:cs="Times New Roman" w:eastAsia="Times New Roman" w:hAnsi="Times New Roman"/>
          <w:b w:val="false"/>
          <w:bCs w:val="false"/>
          <w:i w:val="false"/>
          <w:iCs w:val="false"/>
          <w:sz w:val="24"/>
          <w:szCs w:val="24"/>
        </w:rPr>
        <w:t xml:space="preserve">dva tisíce eur</w:t>
      </w:r>
      <w:r>
        <w:rPr>
          <w:rFonts w:ascii="Times New Roman" w:cs="Times New Roman" w:eastAsia="Times New Roman" w:hAnsi="Times New Roman"/>
          <w:b w:val="false"/>
          <w:bCs w:val="false"/>
          <w:i w:val="false"/>
          <w:iCs w:val="false"/>
          <w:sz w:val="24"/>
          <w:szCs w:val="24"/>
        </w:rPr>
        <w:t xml:space="preserve">), který vznikl z důvodu: </w:t>
      </w:r>
      <w:r>
        <w:rPr>
          <w:rFonts w:ascii="Times New Roman" w:cs="Times New Roman" w:eastAsia="Times New Roman" w:hAnsi="Times New Roman"/>
          <w:b w:val="false"/>
          <w:bCs w:val="false"/>
          <w:i w:val="false"/>
          <w:iCs w:val="false"/>
          <w:sz w:val="24"/>
          <w:szCs w:val="24"/>
        </w:rPr>
        <w:t xml:space="preserve">zápůjčky 2 000 EUR podle smlouvy o zápůjčce ze dne 1. 8. 2026; celá jistina zůstává neuhrazena</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Dlužník výslovně prohlašuje, že uznává shora uvedený dluh </w:t>
      </w:r>
      <w:r>
        <w:rPr>
          <w:rFonts w:ascii="Times New Roman" w:cs="Times New Roman" w:eastAsia="Times New Roman" w:hAnsi="Times New Roman"/>
          <w:b/>
          <w:bCs/>
          <w:i w:val="false"/>
          <w:iCs w:val="false"/>
          <w:sz w:val="24"/>
          <w:szCs w:val="24"/>
        </w:rPr>
        <w:t xml:space="preserve">co do důvodu i výše</w:t>
      </w:r>
      <w:r>
        <w:rPr>
          <w:rFonts w:ascii="Times New Roman" w:cs="Times New Roman" w:eastAsia="Times New Roman" w:hAnsi="Times New Roman"/>
          <w:b w:val="false"/>
          <w:bCs w:val="false"/>
          <w:i w:val="false"/>
          <w:iCs w:val="false"/>
          <w:sz w:val="24"/>
          <w:szCs w:val="24"/>
        </w:rPr>
        <w:t xml:space="preserve"> a se zavazuje jej věřiteli uhradit ve lhůtách a způsobem uvedeným níže.</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w:t>
      </w:r>
    </w:p>
    <w:p>
      <w:pPr>
        <w:keepNext/>
        <w:spacing w:after="120" w:before="0" w:line="276"/>
        <w:jc w:val="center"/>
      </w:pPr>
      <w:r>
        <w:rPr>
          <w:rFonts w:ascii="Times New Roman" w:cs="Times New Roman" w:eastAsia="Times New Roman" w:hAnsi="Times New Roman"/>
          <w:b w:val="false"/>
          <w:bCs w:val="false"/>
          <w:i/>
          <w:iCs/>
          <w:sz w:val="22"/>
          <w:szCs w:val="22"/>
        </w:rPr>
        <w:t xml:space="preserve">Splácení dluhu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w:t>
      </w:r>
      <w:r>
        <w:rPr>
          <w:rFonts w:ascii="Times New Roman" w:cs="Times New Roman" w:eastAsia="Times New Roman" w:hAnsi="Times New Roman"/>
          <w:b w:val="false"/>
          <w:bCs w:val="false"/>
          <w:i w:val="false"/>
          <w:iCs w:val="false"/>
          <w:sz w:val="24"/>
          <w:szCs w:val="24"/>
        </w:rPr>
        <w:t xml:space="preserve"> Smluvní strany se dohodly, že dlužník vrátí dluh věřiteli </w:t>
      </w:r>
      <w:r>
        <w:rPr>
          <w:rFonts w:ascii="Times New Roman" w:cs="Times New Roman" w:eastAsia="Times New Roman" w:hAnsi="Times New Roman"/>
          <w:b w:val="false"/>
          <w:bCs w:val="false"/>
          <w:i w:val="false"/>
          <w:iCs w:val="false"/>
          <w:sz w:val="24"/>
          <w:szCs w:val="24"/>
        </w:rPr>
        <w:t xml:space="preserve">převodem na bankovní účet věřitele uvedený v záhlaví této listiny.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w:t>
      </w:r>
      <w:r>
        <w:rPr>
          <w:rFonts w:ascii="Times New Roman" w:cs="Times New Roman" w:eastAsia="Times New Roman" w:hAnsi="Times New Roman"/>
          <w:b w:val="false"/>
          <w:bCs w:val="false"/>
          <w:i w:val="false"/>
          <w:iCs w:val="false"/>
          <w:sz w:val="24"/>
          <w:szCs w:val="24"/>
        </w:rPr>
        <w:t xml:space="preserve"> Dlužník vrátí dluh </w:t>
      </w:r>
      <w:r>
        <w:rPr>
          <w:rFonts w:ascii="Times New Roman" w:cs="Times New Roman" w:eastAsia="Times New Roman" w:hAnsi="Times New Roman"/>
          <w:b w:val="false"/>
          <w:bCs w:val="false"/>
          <w:i w:val="false"/>
          <w:iCs w:val="false"/>
          <w:sz w:val="24"/>
          <w:szCs w:val="24"/>
        </w:rPr>
        <w:t xml:space="preserve">jednorázově</w:t>
      </w:r>
      <w:r>
        <w:rPr>
          <w:rFonts w:ascii="Times New Roman" w:cs="Times New Roman" w:eastAsia="Times New Roman" w:hAnsi="Times New Roman"/>
          <w:b w:val="false"/>
          <w:bCs w:val="false"/>
          <w:i w:val="false"/>
          <w:iCs w:val="false"/>
          <w:sz w:val="24"/>
          <w:szCs w:val="24"/>
        </w:rPr>
        <w:t xml:space="preserve"> ve lhůtě do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bCs/>
          <w:i w:val="false"/>
          <w:iCs w:val="false"/>
          <w:sz w:val="24"/>
          <w:szCs w:val="24"/>
        </w:rPr>
        <w:t xml:space="preserve">Další ujednání.</w:t>
      </w:r>
      <w:r>
        <w:rPr>
          <w:rFonts w:ascii="Times New Roman" w:cs="Times New Roman" w:eastAsia="Times New Roman" w:hAnsi="Times New Roman"/>
          <w:b w:val="false"/>
          <w:bCs w:val="false"/>
          <w:i w:val="false"/>
          <w:iCs w:val="false"/>
          <w:sz w:val="24"/>
          <w:szCs w:val="24"/>
        </w:rPr>
        <w:t xml:space="preserve"> Smluvní strany se dále dohodly: </w:t>
      </w:r>
      <w:r>
        <w:rPr>
          <w:rFonts w:ascii="Times New Roman" w:cs="Times New Roman" w:eastAsia="Times New Roman" w:hAnsi="Times New Roman"/>
          <w:b w:val="false"/>
          <w:bCs w:val="false"/>
          <w:i w:val="false"/>
          <w:iCs w:val="false"/>
          <w:sz w:val="24"/>
          <w:szCs w:val="24"/>
        </w:rPr>
        <w:t xml:space="preserve">Další ujednání se nesjednávají.</w:t>
      </w:r>
    </w:p>
    <w:p>
      <w:pPr>
        <w:keepNext/>
        <w:spacing w:after="120" w:before="240" w:line="276"/>
        <w:jc w:val="center"/>
      </w:pPr>
      <w:r>
        <w:rPr>
          <w:rFonts w:ascii="Times New Roman" w:cs="Times New Roman" w:eastAsia="Times New Roman" w:hAnsi="Times New Roman"/>
          <w:b/>
          <w:bCs/>
          <w:i w:val="false"/>
          <w:iCs w:val="false"/>
          <w:sz w:val="24"/>
          <w:szCs w:val="24"/>
        </w:rPr>
        <w:t xml:space="preserve">čl. III</w:t>
      </w:r>
    </w:p>
    <w:p>
      <w:pPr>
        <w:keepNext/>
        <w:spacing w:after="120" w:before="0" w:line="276"/>
        <w:jc w:val="center"/>
      </w:pPr>
      <w:r>
        <w:rPr>
          <w:rFonts w:ascii="Times New Roman" w:cs="Times New Roman" w:eastAsia="Times New Roman" w:hAnsi="Times New Roman"/>
          <w:b w:val="false"/>
          <w:bCs w:val="false"/>
          <w:i/>
          <w:iCs/>
          <w:sz w:val="22"/>
          <w:szCs w:val="22"/>
        </w:rPr>
        <w:t xml:space="preserve">Rozhodčí doložka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Smluvní strany se dohodly, že všechny majetkové spory, které vzniknou z tohoto uznání dluhu, budou rozhodnuty v rozhodčím řízení podle zákona č. 216/1994 Sb. o rozhodčím řízení rozhodcem: JUDr. Milan Ficek, advokát (zapsaný v seznamu evropských advokátů ČAK pod ev. č. 50245), se sídlem: Lidická 700/19, 602 00 Brno (</w:t>
      </w:r>
      <w:r>
        <w:rPr>
          <w:rFonts w:ascii="Times New Roman" w:cs="Times New Roman" w:eastAsia="Times New Roman" w:hAnsi="Times New Roman"/>
          <w:b w:val="false"/>
          <w:bCs w:val="false"/>
          <w:i w:val="false"/>
          <w:iCs w:val="false"/>
          <w:sz w:val="24"/>
          <w:szCs w:val="24"/>
        </w:rPr>
        <w:t xml:space="preserve">www.rrcr.cz</w:t>
      </w:r>
      <w:r>
        <w:rPr>
          <w:rFonts w:ascii="Times New Roman" w:cs="Times New Roman" w:eastAsia="Times New Roman" w:hAnsi="Times New Roman"/>
          <w:b w:val="false"/>
          <w:bCs w:val="false"/>
          <w:i w:val="false"/>
          <w:iCs w:val="false"/>
          <w:sz w:val="24"/>
          <w:szCs w:val="24"/>
        </w:rPr>
        <w:t xml:space="preserve">). Rozhodce rozhoduje neveřejně bez ústního jednání (písemně) na základě písemných důkazů. Rozhodčí poplatek za každý spor činí 4 % z hodnoty předmětu sporu, nejméně 4.500,- Kč. Zásilka se má za doručenou i vhozením do domovní schránky adresáta nebo jejím vrácením rozhodci. Rozhodce se řídí právními předpisy a nesmí rozhodovat v rozporu s veřejným pořádkem. Právní předpisy rozhodce aplikuje stejně jako soudce v soudním řízení podle o. s. ř. Ustanovení této rozhodčí doložky upravující postup, kterým má rozhodce vést řízení, je dohodou stran ve smyslu § 19 odst. 1 ZRŘ. Není-li postup upraven, postupuje rozhodce v řízení způsobem, který považuje za vhodný (§ 19 odst. 2 ZRŘ), a to s přiměřenou aplikací ustanovení o. s. ř. (§ 30 ZRŘ).</w:t>
      </w:r>
    </w:p>
    <w:p>
      <w:pPr>
        <w:keepNext/>
        <w:spacing w:after="120" w:before="240" w:line="276"/>
        <w:jc w:val="center"/>
      </w:pPr>
      <w:r>
        <w:rPr>
          <w:rFonts w:ascii="Times New Roman" w:cs="Times New Roman" w:eastAsia="Times New Roman" w:hAnsi="Times New Roman"/>
          <w:b/>
          <w:bCs/>
          <w:i w:val="false"/>
          <w:iCs w:val="false"/>
          <w:sz w:val="24"/>
          <w:szCs w:val="24"/>
        </w:rPr>
        <w:t xml:space="preserve">čl. IV</w:t>
      </w:r>
    </w:p>
    <w:p>
      <w:pPr>
        <w:keepNext/>
        <w:spacing w:after="120" w:before="0" w:line="276"/>
        <w:jc w:val="center"/>
      </w:pPr>
      <w:r>
        <w:rPr>
          <w:rFonts w:ascii="Times New Roman" w:cs="Times New Roman" w:eastAsia="Times New Roman" w:hAnsi="Times New Roman"/>
          <w:b w:val="false"/>
          <w:bCs w:val="false"/>
          <w:i/>
          <w:iCs/>
          <w:sz w:val="22"/>
          <w:szCs w:val="22"/>
        </w:rPr>
        <w:t xml:space="preserve">Závěrečná ustanovení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w:t>
      </w:r>
      <w:r>
        <w:rPr>
          <w:rFonts w:ascii="Times New Roman" w:cs="Times New Roman" w:eastAsia="Times New Roman" w:hAnsi="Times New Roman"/>
          <w:b w:val="false"/>
          <w:bCs w:val="false"/>
          <w:i w:val="false"/>
          <w:iCs w:val="false"/>
          <w:sz w:val="24"/>
          <w:szCs w:val="24"/>
        </w:rPr>
        <w:t xml:space="preserve"> Toto uznání dluhu bylo vyhotoveno ve 2 stejnopisech, pro každého z účastníků. Každý z účastníků převzal jedno vyhotovení tohoto uznání dluhu. Smluvní strany se dohodly, že toto uznání dluhu je možné měnit pouze očíslovaným písemným dodatkem podepsaným oběma stranami, který se stane nedílnou součástí tohoto uznání dluhu.</w:t>
      </w:r>
    </w:p>
    <w:p>
      <w:pPr>
        <w:keepNext/>
        <w:spacing w:after="120" w:before="0" w:line="276"/>
        <w:jc w:val="both"/>
      </w:pPr>
      <w:r>
        <w:rPr>
          <w:rFonts w:ascii="Times New Roman" w:cs="Times New Roman" w:eastAsia="Times New Roman" w:hAnsi="Times New Roman"/>
          <w:b/>
          <w:bCs/>
          <w:i w:val="false"/>
          <w:iCs w:val="false"/>
          <w:sz w:val="24"/>
          <w:szCs w:val="24"/>
        </w:rPr>
        <w:t xml:space="preserve">4.2</w:t>
      </w:r>
      <w:r>
        <w:rPr>
          <w:rFonts w:ascii="Times New Roman" w:cs="Times New Roman" w:eastAsia="Times New Roman" w:hAnsi="Times New Roman"/>
          <w:b w:val="false"/>
          <w:bCs w:val="false"/>
          <w:i w:val="false"/>
          <w:iCs w:val="false"/>
          <w:sz w:val="24"/>
          <w:szCs w:val="24"/>
        </w:rPr>
        <w:t xml:space="preserve"> Dlužník a věřitel potvrzují, že si toto uznání dluhu řádně přečetli, jeho obsahu rozumějí a na znak souhlasu jej podepisují. Smluvní strany prohlašují, že toto uznání dluhu učinily svobodně a vážně.</w:t>
      </w:r>
    </w:p>
    <w:p>
      <w:pPr>
        <w:keepNext/>
        <w:spacing w:after="120" w:before="0" w:line="276"/>
        <w:jc w:val="center"/>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Brno</w:t>
      </w:r>
      <w:r>
        <w:rPr>
          <w:rFonts w:ascii="Times New Roman" w:cs="Times New Roman" w:eastAsia="Times New Roman" w:hAnsi="Times New Roman"/>
          <w:b w:val="false"/>
          <w:bCs w:val="false"/>
          <w:i w:val="false"/>
          <w:iCs w:val="false"/>
          <w:sz w:val="24"/>
          <w:szCs w:val="24"/>
        </w:rPr>
        <w:t xml:space="preserve">, dne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Peter Mrkvička</w:t>
            </w:r>
            <w:r>
              <w:br/>
            </w:r>
            <w:r>
              <w:rPr>
                <w:rFonts w:ascii="Times New Roman" w:cs="Times New Roman" w:eastAsia="Times New Roman" w:hAnsi="Times New Roman"/>
                <w:b/>
                <w:bCs/>
                <w:i w:val="false"/>
                <w:iCs w:val="false"/>
                <w:sz w:val="24"/>
                <w:szCs w:val="24"/>
              </w:rPr>
              <w:t xml:space="preserve">Věřitel</w:t>
            </w: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480"/>
              <w:jc w:val="center"/>
            </w:pPr>
            <w:r>
              <w:rPr>
                <w:rFonts w:ascii="Times New Roman" w:cs="Times New Roman" w:eastAsia="Times New Roman" w:hAnsi="Times New Roman"/>
                <w:b w:val="false"/>
                <w:bCs w:val="false"/>
                <w:i w:val="false"/>
                <w:iCs w:val="false"/>
                <w:sz w:val="24"/>
                <w:szCs w:val="24"/>
              </w:rPr>
              <w:t xml:space="preserve">Jana Mrkvičková</w:t>
            </w:r>
            <w:r>
              <w:br/>
            </w:r>
            <w:r>
              <w:rPr>
                <w:rFonts w:ascii="Times New Roman" w:cs="Times New Roman" w:eastAsia="Times New Roman" w:hAnsi="Times New Roman"/>
                <w:b/>
                <w:bCs/>
                <w:i w:val="false"/>
                <w:iCs w:val="false"/>
                <w:sz w:val="24"/>
                <w:szCs w:val="24"/>
              </w:rPr>
              <w:t xml:space="preserve">Dlužník</w:t>
            </w:r>
          </w:p>
        </w:tc>
      </w:tr>
    </w:tbl>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cs-CZ"/>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Uznání dluhu v eurech — vyplněný vzor</dc:title>
  <dc:creator>JUDr. Milan Ficek, LL.M.</dc:creator>
  <dc:description>Uznání dluhu v eurech — vyplněný vzor</dc:description>
  <cp:lastModifiedBy>Un-named</cp:lastModifiedBy>
  <cp:revision>1</cp:revision>
  <dcterms:created xsi:type="dcterms:W3CDTF">2026-10-05T00:00:00Z</dcterms:created>
  <dcterms:modified xsi:type="dcterms:W3CDTF">2026-10-05T00:00:00Z</dcterms:modified>
</cp:coreProperties>
</file>

<file path=docProps/custom.xml><?xml version="1.0" encoding="utf-8"?>
<Properties xmlns="http://schemas.openxmlformats.org/officeDocument/2006/custom-properties" xmlns:vt="http://schemas.openxmlformats.org/officeDocument/2006/docPropsVTypes"/>
</file>